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BECAS UNIVERSITARIAS</w:t>
      </w:r>
    </w:p>
    <w:p w:rsidR="00000000" w:rsidDel="00000000" w:rsidP="00000000" w:rsidRDefault="00000000" w:rsidRPr="00000000" w14:paraId="00000002">
      <w:pPr>
        <w:spacing w:before="20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spacing w:after="200" w:before="0" w:line="36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ENAE</w:t>
      </w:r>
      <w:r w:rsidDel="00000000" w:rsidR="00000000" w:rsidRPr="00000000">
        <w:rPr>
          <w:rFonts w:ascii="Merriweather" w:cs="Merriweather" w:eastAsia="Merriweather" w:hAnsi="Merriweather"/>
          <w:sz w:val="24"/>
          <w:szCs w:val="24"/>
          <w:rtl w:val="0"/>
        </w:rPr>
        <w:t xml:space="preserve"> mantiene acuerdos con diferentes instituciones internacionales para otorgar becas de estudio y/o financiación a estudiantes de distintos países. Los países con los que actualmente tiene estos acuerdos son:</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pacing w:after="80" w:line="360" w:lineRule="auto"/>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COLOMBIA</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pacing w:after="80" w:line="360" w:lineRule="auto"/>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En Colombia, ENAE e ICETEX, mantienen un acuerdo por el cual los alumnos pueden optar a becas de hasta el 40% del importe total de matrícula tanto para masters presenciales como blended – learning.</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after="80" w:line="360" w:lineRule="auto"/>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after="80" w:line="36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REQUISITOS Y PASOS PARA SOLICITAR LA BECA</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after="0" w:line="360" w:lineRule="auto"/>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300" w:before="0" w:line="36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El requisito necesario para obtener una beca, tanto nacional, como internacional es superar el proceso de admisión que consiste en:</w:t>
      </w:r>
    </w:p>
    <w:p w:rsidR="00000000" w:rsidDel="00000000" w:rsidP="00000000" w:rsidRDefault="00000000" w:rsidRPr="00000000" w14:paraId="0000000A">
      <w:pPr>
        <w:numPr>
          <w:ilvl w:val="0"/>
          <w:numId w:val="5"/>
        </w:numPr>
        <w:pBdr>
          <w:top w:color="auto" w:space="0" w:sz="0" w:val="none"/>
          <w:bottom w:color="auto" w:space="0" w:sz="0" w:val="none"/>
          <w:right w:color="auto" w:space="0" w:sz="0" w:val="none"/>
          <w:between w:color="auto" w:space="0" w:sz="0" w:val="none"/>
        </w:pBdr>
        <w:spacing w:after="0" w:afterAutospacing="0" w:before="30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Presentación de documentación académica y profesional</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Titulación académica</w:t>
      </w:r>
    </w:p>
    <w:p w:rsidR="00000000" w:rsidDel="00000000" w:rsidP="00000000" w:rsidRDefault="00000000" w:rsidRPr="00000000" w14:paraId="0000000C">
      <w:pPr>
        <w:numPr>
          <w:ilvl w:val="0"/>
          <w:numId w:val="5"/>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Certificado de calificaciones</w:t>
      </w:r>
    </w:p>
    <w:p w:rsidR="00000000" w:rsidDel="00000000" w:rsidP="00000000" w:rsidRDefault="00000000" w:rsidRPr="00000000" w14:paraId="0000000D">
      <w:pPr>
        <w:numPr>
          <w:ilvl w:val="0"/>
          <w:numId w:val="5"/>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Cartas de presentación y motivación</w:t>
      </w:r>
    </w:p>
    <w:p w:rsidR="00000000" w:rsidDel="00000000" w:rsidP="00000000" w:rsidRDefault="00000000" w:rsidRPr="00000000" w14:paraId="0000000E">
      <w:pPr>
        <w:numPr>
          <w:ilvl w:val="0"/>
          <w:numId w:val="5"/>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Curriculum vitae</w:t>
      </w:r>
    </w:p>
    <w:p w:rsidR="00000000" w:rsidDel="00000000" w:rsidP="00000000" w:rsidRDefault="00000000" w:rsidRPr="00000000" w14:paraId="0000000F">
      <w:pPr>
        <w:numPr>
          <w:ilvl w:val="0"/>
          <w:numId w:val="5"/>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Prueba de conocimientos empresariales (ENAE)</w:t>
      </w:r>
    </w:p>
    <w:p w:rsidR="00000000" w:rsidDel="00000000" w:rsidP="00000000" w:rsidRDefault="00000000" w:rsidRPr="00000000" w14:paraId="00000010">
      <w:pPr>
        <w:numPr>
          <w:ilvl w:val="0"/>
          <w:numId w:val="5"/>
        </w:numPr>
        <w:pBdr>
          <w:top w:color="auto" w:space="0" w:sz="0" w:val="none"/>
          <w:bottom w:color="auto" w:space="0" w:sz="0" w:val="none"/>
          <w:right w:color="auto" w:space="0" w:sz="0" w:val="none"/>
          <w:between w:color="auto" w:space="0" w:sz="0" w:val="none"/>
        </w:pBdr>
        <w:spacing w:after="8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Entrevista de admisión</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300" w:before="300" w:line="36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Una vez finalizado dicho proceso el Comité de Admisiones evaluará las actitudes y capacidades de los candidatos para otorgar las becas correspondientes en coordinación con los requisitos de las diferentes instituciones con las que se otorgan.</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300" w:before="300" w:line="36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after="300" w:before="300" w:line="36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COLFUTURO</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300" w:before="300" w:line="36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El máximo porcentaje de condonación que se da a partir del 2017 es del 80% del valor del crédito  beca. Los estudiantes eligen el porcentaje de beca que van a obtener, de acuerdo a las decisiones que tomen de en qué ciudad y sector se establecen a su regreso al país. El sistema operará de la siguiente manera:</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spacing w:after="0" w:afterAutospacing="0" w:before="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20% Maestría en Administración o Derecho.</w:t>
      </w:r>
    </w:p>
    <w:p w:rsidR="00000000" w:rsidDel="00000000" w:rsidP="00000000" w:rsidRDefault="00000000" w:rsidRPr="00000000" w14:paraId="00000016">
      <w:pPr>
        <w:numPr>
          <w:ilvl w:val="0"/>
          <w:numId w:val="8"/>
        </w:numPr>
        <w:pBdr>
          <w:top w:color="auto" w:space="0" w:sz="0" w:val="none"/>
          <w:bottom w:color="auto" w:space="0" w:sz="0" w:val="none"/>
          <w:right w:color="auto" w:space="0" w:sz="0" w:val="none"/>
          <w:between w:color="auto" w:space="0" w:sz="0" w:val="none"/>
        </w:pBdr>
        <w:spacing w:after="200" w:before="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40% Demás áreas.</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200" w:before="0" w:line="360" w:lineRule="auto"/>
        <w:ind w:left="0" w:firstLine="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BONOS ADICIONALES</w:t>
      </w:r>
    </w:p>
    <w:p w:rsidR="00000000" w:rsidDel="00000000" w:rsidP="00000000" w:rsidRDefault="00000000" w:rsidRPr="00000000" w14:paraId="00000018">
      <w:pPr>
        <w:numPr>
          <w:ilvl w:val="0"/>
          <w:numId w:val="8"/>
        </w:numPr>
        <w:pBdr>
          <w:top w:color="auto" w:space="0" w:sz="0" w:val="none"/>
          <w:bottom w:color="auto" w:space="0" w:sz="0" w:val="none"/>
          <w:right w:color="auto" w:space="0" w:sz="0" w:val="none"/>
          <w:between w:color="auto" w:space="0" w:sz="0" w:val="none"/>
        </w:pBdr>
        <w:spacing w:after="0" w:afterAutospacing="0" w:before="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20% Para quienes trabajen fuera de bogota y su área metropolitana distribuidos en 3 años (10% en el primero y 5% en los dos restantes). </w:t>
      </w:r>
    </w:p>
    <w:p w:rsidR="00000000" w:rsidDel="00000000" w:rsidP="00000000" w:rsidRDefault="00000000" w:rsidRPr="00000000" w14:paraId="00000019">
      <w:pPr>
        <w:numPr>
          <w:ilvl w:val="0"/>
          <w:numId w:val="8"/>
        </w:numPr>
        <w:pBdr>
          <w:top w:color="auto" w:space="0" w:sz="0" w:val="none"/>
          <w:bottom w:color="auto" w:space="0" w:sz="0" w:val="none"/>
          <w:right w:color="auto" w:space="0" w:sz="0" w:val="none"/>
          <w:between w:color="auto" w:space="0" w:sz="0" w:val="none"/>
        </w:pBdr>
        <w:spacing w:after="0" w:before="0" w:line="360"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20% Para quienes trabajen en el sector público o en la academia, distribuidos en 3 años (10% en el primero y 5% en los dos restantes).  </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after="0" w:before="0" w:line="360" w:lineRule="auto"/>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bottom w:color="auto" w:space="0" w:sz="0" w:val="none"/>
          <w:right w:color="auto" w:space="0" w:sz="0" w:val="none"/>
          <w:between w:color="auto" w:space="0" w:sz="0" w:val="none"/>
        </w:pBdr>
        <w:spacing w:after="0" w:before="0" w:line="300" w:lineRule="auto"/>
        <w:rPr>
          <w:rFonts w:ascii="Merriweather" w:cs="Merriweather" w:eastAsia="Merriweather" w:hAnsi="Merriweather"/>
          <w:b w:val="1"/>
          <w:color w:val="000000"/>
          <w:sz w:val="24"/>
          <w:szCs w:val="24"/>
        </w:rPr>
      </w:pPr>
      <w:bookmarkStart w:colFirst="0" w:colLast="0" w:name="_hl9abnsvffg3" w:id="0"/>
      <w:bookmarkEnd w:id="0"/>
      <w:r w:rsidDel="00000000" w:rsidR="00000000" w:rsidRPr="00000000">
        <w:rPr>
          <w:rFonts w:ascii="Merriweather" w:cs="Merriweather" w:eastAsia="Merriweather" w:hAnsi="Merriweather"/>
          <w:b w:val="1"/>
          <w:color w:val="000000"/>
          <w:sz w:val="24"/>
          <w:szCs w:val="24"/>
          <w:rtl w:val="0"/>
        </w:rPr>
        <w:t xml:space="preserve">Cómo postularse</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before="220" w:line="336"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Para participar en la convocatoria anual del Programa Crédito Beca, el candidato debe cumplir con los siguientes requisitos:</w:t>
      </w:r>
    </w:p>
    <w:p w:rsidR="00000000" w:rsidDel="00000000" w:rsidP="00000000" w:rsidRDefault="00000000" w:rsidRPr="00000000" w14:paraId="0000001D">
      <w:pPr>
        <w:numPr>
          <w:ilvl w:val="0"/>
          <w:numId w:val="3"/>
        </w:numPr>
        <w:pBdr>
          <w:top w:color="auto" w:space="0" w:sz="0" w:val="none"/>
          <w:bottom w:color="auto" w:space="0" w:sz="0" w:val="none"/>
          <w:right w:color="auto" w:space="5" w:sz="0" w:val="none"/>
          <w:between w:color="auto" w:space="0" w:sz="0" w:val="none"/>
        </w:pBdr>
        <w:spacing w:after="0" w:afterAutospacing="0" w:before="380" w:line="336"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Ser colombiano.</w:t>
      </w:r>
    </w:p>
    <w:p w:rsidR="00000000" w:rsidDel="00000000" w:rsidP="00000000" w:rsidRDefault="00000000" w:rsidRPr="00000000" w14:paraId="0000001E">
      <w:pPr>
        <w:numPr>
          <w:ilvl w:val="0"/>
          <w:numId w:val="3"/>
        </w:numPr>
        <w:pBdr>
          <w:top w:color="auto" w:space="0" w:sz="0" w:val="none"/>
          <w:bottom w:color="auto" w:space="0" w:sz="0" w:val="none"/>
          <w:right w:color="auto" w:space="5" w:sz="0" w:val="none"/>
          <w:between w:color="auto" w:space="0" w:sz="0" w:val="none"/>
        </w:pBdr>
        <w:spacing w:after="0" w:afterAutospacing="0" w:before="0" w:beforeAutospacing="0" w:line="336"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Tener mínimo un título de pregrado. Si no se ha graduado, es indispensable una comunicación de la universidad donde se certifique que está cursando último semestre. Para los programas de doble titulación pregrado-maestría, debe presentar una carta de la universidad en Colombia donde se avala o aprueba la doble titulación.</w:t>
      </w:r>
    </w:p>
    <w:p w:rsidR="00000000" w:rsidDel="00000000" w:rsidP="00000000" w:rsidRDefault="00000000" w:rsidRPr="00000000" w14:paraId="0000001F">
      <w:pPr>
        <w:numPr>
          <w:ilvl w:val="0"/>
          <w:numId w:val="3"/>
        </w:numPr>
        <w:pBdr>
          <w:top w:color="auto" w:space="0" w:sz="0" w:val="none"/>
          <w:bottom w:color="auto" w:space="0" w:sz="0" w:val="none"/>
          <w:right w:color="auto" w:space="5" w:sz="0" w:val="none"/>
          <w:between w:color="auto" w:space="0" w:sz="0" w:val="none"/>
        </w:pBdr>
        <w:spacing w:after="280" w:before="0" w:beforeAutospacing="0" w:line="336" w:lineRule="auto"/>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Dominar un segundo idioma, incluso para personas que van a estudiar en un país hispanohablante.</w:t>
      </w:r>
      <w:hyperlink r:id="rId6">
        <w:r w:rsidDel="00000000" w:rsidR="00000000" w:rsidRPr="00000000">
          <w:rPr>
            <w:rFonts w:ascii="Merriweather" w:cs="Merriweather" w:eastAsia="Merriweather" w:hAnsi="Merriweather"/>
            <w:sz w:val="24"/>
            <w:szCs w:val="24"/>
            <w:rtl w:val="0"/>
          </w:rPr>
          <w:t xml:space="preserve"> Estos son los exámenes admitidos</w:t>
        </w:r>
      </w:hyperlink>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before="220" w:line="336"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Si cumple con estos requisitos, debe diligenciar el formulario en línea que estará disponible una vez se abra la convocatoria. También debe consignar $50.000 en Davivienda y adjuntar al formulario la respectiva copia. Por favor tenga en cuenta :</w:t>
      </w:r>
    </w:p>
    <w:p w:rsidR="00000000" w:rsidDel="00000000" w:rsidP="00000000" w:rsidRDefault="00000000" w:rsidRPr="00000000" w14:paraId="00000021">
      <w:pPr>
        <w:numPr>
          <w:ilvl w:val="0"/>
          <w:numId w:val="9"/>
        </w:numPr>
        <w:pBdr>
          <w:top w:color="auto" w:space="0" w:sz="0" w:val="none"/>
          <w:bottom w:color="auto" w:space="0" w:sz="0" w:val="none"/>
          <w:right w:color="auto" w:space="0" w:sz="0" w:val="none"/>
          <w:between w:color="auto" w:space="0" w:sz="0" w:val="none"/>
        </w:pBdr>
        <w:spacing w:after="0" w:afterAutospacing="0" w:before="220" w:line="36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sz w:val="24"/>
          <w:szCs w:val="24"/>
          <w:rtl w:val="0"/>
        </w:rPr>
        <w:t xml:space="preserve">La consignación debe realizarse en Davivienda por un valor de 50.000 pesos en el formato de CONVENIOS EMPRESARIALES.</w:t>
      </w:r>
    </w:p>
    <w:p w:rsidR="00000000" w:rsidDel="00000000" w:rsidP="00000000" w:rsidRDefault="00000000" w:rsidRPr="00000000" w14:paraId="00000022">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sz w:val="24"/>
          <w:szCs w:val="24"/>
          <w:rtl w:val="0"/>
        </w:rPr>
        <w:t xml:space="preserve">En la casilla: "Código convenio / No cuenta" debe escribir 1001676</w:t>
      </w:r>
    </w:p>
    <w:p w:rsidR="00000000" w:rsidDel="00000000" w:rsidP="00000000" w:rsidRDefault="00000000" w:rsidRPr="00000000" w14:paraId="00000023">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sz w:val="24"/>
          <w:szCs w:val="24"/>
          <w:rtl w:val="0"/>
        </w:rPr>
        <w:t xml:space="preserve">En el campo: Referencia 1 debe escribir claramente el número de cédula del ESTUDIANTE</w:t>
      </w:r>
    </w:p>
    <w:p w:rsidR="00000000" w:rsidDel="00000000" w:rsidP="00000000" w:rsidRDefault="00000000" w:rsidRPr="00000000" w14:paraId="00000024">
      <w:pPr>
        <w:numPr>
          <w:ilvl w:val="0"/>
          <w:numId w:val="9"/>
        </w:numPr>
        <w:pBdr>
          <w:top w:color="auto" w:space="0" w:sz="0" w:val="none"/>
          <w:bottom w:color="auto" w:space="0" w:sz="0" w:val="none"/>
          <w:right w:color="auto" w:space="0" w:sz="0" w:val="none"/>
          <w:between w:color="auto" w:space="0" w:sz="0" w:val="none"/>
        </w:pBdr>
        <w:spacing w:after="220" w:before="0" w:beforeAutospacing="0" w:line="36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sz w:val="24"/>
          <w:szCs w:val="24"/>
          <w:rtl w:val="0"/>
        </w:rPr>
        <w:t xml:space="preserve">Antes de escanear la consignación escriba claramente: la fecha del pago y la oficina o sucursal del banco en la que realizó la consignación.</w:t>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spacing w:after="0" w:before="0" w:line="360" w:lineRule="auto"/>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pacing w:after="0" w:before="0" w:line="360" w:lineRule="auto"/>
        <w:ind w:left="-141.73228346456688" w:firstLine="0"/>
        <w:rPr>
          <w:rFonts w:ascii="Merriweather" w:cs="Merriweather" w:eastAsia="Merriweather" w:hAnsi="Merriweather"/>
          <w:b w:val="1"/>
          <w:sz w:val="26"/>
          <w:szCs w:val="26"/>
        </w:rPr>
      </w:pPr>
      <w:r w:rsidDel="00000000" w:rsidR="00000000" w:rsidRPr="00000000">
        <w:rPr>
          <w:rFonts w:ascii="Merriweather" w:cs="Merriweather" w:eastAsia="Merriweather" w:hAnsi="Merriweather"/>
          <w:b w:val="1"/>
          <w:sz w:val="28"/>
          <w:szCs w:val="28"/>
          <w:rtl w:val="0"/>
        </w:rPr>
        <w:t xml:space="preserve">DAAD COLOMBIA</w:t>
      </w:r>
      <w:r w:rsidDel="00000000" w:rsidR="00000000" w:rsidRPr="00000000">
        <w:rPr>
          <w:rtl w:val="0"/>
        </w:rPr>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after="0" w:line="360" w:lineRule="auto"/>
        <w:ind w:left="-180" w:right="-18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través de los programas de becas del DAAD no es posible financiar estudios completos de pregrado, no obstante con el ánimo de fomentar la formación universitaria en todos sus niveles, el DAAD en Colombia ofrece diferentes programas de becas a estudiantes que se encuentran en el pregrado en Colombia para una estancia corta o prácticas. En la siguiente tabla se encuentran los datos principales de estas becas y los documentos informativos.</w:t>
      </w:r>
    </w:p>
    <w:tbl>
      <w:tblPr>
        <w:tblStyle w:val="Table1"/>
        <w:tblW w:w="9030.0" w:type="dxa"/>
        <w:jc w:val="left"/>
        <w:tblInd w:w="160.0" w:type="pct"/>
        <w:tblLayout w:type="fixed"/>
        <w:tblLook w:val="0600"/>
      </w:tblPr>
      <w:tblGrid>
        <w:gridCol w:w="1855.2808988764045"/>
        <w:gridCol w:w="1913.2584269662923"/>
        <w:gridCol w:w="1724.8314606741574"/>
        <w:gridCol w:w="1637.865168539326"/>
        <w:gridCol w:w="1898.7640449438204"/>
        <w:tblGridChange w:id="0">
          <w:tblGrid>
            <w:gridCol w:w="1855.2808988764045"/>
            <w:gridCol w:w="1913.2584269662923"/>
            <w:gridCol w:w="1724.8314606741574"/>
            <w:gridCol w:w="1637.865168539326"/>
            <w:gridCol w:w="1898.7640449438204"/>
          </w:tblGrid>
        </w:tblGridChange>
      </w:tblGrid>
      <w:tr>
        <w:trPr>
          <w:trHeight w:val="1065" w:hRule="atLeast"/>
        </w:trPr>
        <w:tc>
          <w:tcPr>
            <w:shd w:fill="cf3500" w:val="clear"/>
            <w:tcMar>
              <w:top w:w="160.0" w:type="dxa"/>
              <w:left w:w="160.0" w:type="dxa"/>
              <w:bottom w:w="160.0" w:type="dxa"/>
              <w:right w:w="160.0" w:type="dxa"/>
            </w:tcMar>
            <w:vAlign w:val="top"/>
          </w:tcPr>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pacing w:after="360" w:line="313.04347826086956" w:lineRule="auto"/>
              <w:ind w:left="0" w:right="-180" w:firstLine="0"/>
              <w:rPr>
                <w:color w:val="333333"/>
                <w:sz w:val="23"/>
                <w:szCs w:val="23"/>
              </w:rPr>
            </w:pPr>
            <w:r w:rsidDel="00000000" w:rsidR="00000000" w:rsidRPr="00000000">
              <w:rPr>
                <w:b w:val="1"/>
                <w:color w:val="ffffff"/>
                <w:sz w:val="23"/>
                <w:szCs w:val="23"/>
                <w:rtl w:val="0"/>
              </w:rPr>
              <w:t xml:space="preserve">Nombre del programa</w:t>
            </w:r>
            <w:r w:rsidDel="00000000" w:rsidR="00000000" w:rsidRPr="00000000">
              <w:rPr>
                <w:rtl w:val="0"/>
              </w:rPr>
            </w:r>
          </w:p>
        </w:tc>
        <w:tc>
          <w:tcPr>
            <w:tcBorders>
              <w:left w:color="cccccc" w:space="0" w:sz="6" w:val="single"/>
            </w:tcBorders>
            <w:shd w:fill="cf3500" w:val="clear"/>
            <w:tcMar>
              <w:top w:w="160.0" w:type="dxa"/>
              <w:left w:w="160.0" w:type="dxa"/>
              <w:bottom w:w="160.0" w:type="dxa"/>
              <w:right w:w="160.0" w:type="dxa"/>
            </w:tcMar>
            <w:vAlign w:val="top"/>
          </w:tcPr>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pacing w:after="360" w:line="313.04347826086956" w:lineRule="auto"/>
              <w:ind w:left="-180" w:right="-180"/>
              <w:rPr>
                <w:color w:val="333333"/>
                <w:sz w:val="23"/>
                <w:szCs w:val="23"/>
              </w:rPr>
            </w:pPr>
            <w:r w:rsidDel="00000000" w:rsidR="00000000" w:rsidRPr="00000000">
              <w:rPr>
                <w:b w:val="1"/>
                <w:color w:val="ffffff"/>
                <w:sz w:val="23"/>
                <w:szCs w:val="23"/>
                <w:rtl w:val="0"/>
              </w:rPr>
              <w:t xml:space="preserve">Descripción</w:t>
            </w:r>
            <w:r w:rsidDel="00000000" w:rsidR="00000000" w:rsidRPr="00000000">
              <w:rPr>
                <w:rtl w:val="0"/>
              </w:rPr>
            </w:r>
          </w:p>
        </w:tc>
        <w:tc>
          <w:tcPr>
            <w:tcBorders>
              <w:left w:color="cccccc" w:space="0" w:sz="6" w:val="single"/>
            </w:tcBorders>
            <w:shd w:fill="cf3500" w:val="clear"/>
            <w:tcMar>
              <w:top w:w="160.0" w:type="dxa"/>
              <w:left w:w="160.0" w:type="dxa"/>
              <w:bottom w:w="160.0" w:type="dxa"/>
              <w:right w:w="160.0" w:type="dxa"/>
            </w:tcMar>
            <w:vAlign w:val="top"/>
          </w:tcPr>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pacing w:after="360" w:line="313.04347826086956" w:lineRule="auto"/>
              <w:ind w:left="-180" w:right="-180"/>
              <w:rPr>
                <w:color w:val="333333"/>
                <w:sz w:val="23"/>
                <w:szCs w:val="23"/>
              </w:rPr>
            </w:pPr>
            <w:r w:rsidDel="00000000" w:rsidR="00000000" w:rsidRPr="00000000">
              <w:rPr>
                <w:b w:val="1"/>
                <w:color w:val="ffffff"/>
                <w:sz w:val="23"/>
                <w:szCs w:val="23"/>
                <w:rtl w:val="0"/>
              </w:rPr>
              <w:t xml:space="preserve">Beneficios</w:t>
            </w:r>
            <w:r w:rsidDel="00000000" w:rsidR="00000000" w:rsidRPr="00000000">
              <w:rPr>
                <w:rtl w:val="0"/>
              </w:rPr>
            </w:r>
          </w:p>
        </w:tc>
        <w:tc>
          <w:tcPr>
            <w:tcBorders>
              <w:left w:color="cccccc" w:space="0" w:sz="6" w:val="single"/>
            </w:tcBorders>
            <w:shd w:fill="cf3500" w:val="clear"/>
            <w:tcMar>
              <w:top w:w="160.0" w:type="dxa"/>
              <w:left w:w="160.0" w:type="dxa"/>
              <w:bottom w:w="160.0" w:type="dxa"/>
              <w:right w:w="160.0" w:type="dxa"/>
            </w:tcMar>
            <w:vAlign w:val="top"/>
          </w:tcPr>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pacing w:after="360" w:line="313.04347826086956" w:lineRule="auto"/>
              <w:ind w:left="0" w:right="-180" w:firstLine="0"/>
              <w:rPr>
                <w:color w:val="333333"/>
                <w:sz w:val="23"/>
                <w:szCs w:val="23"/>
              </w:rPr>
            </w:pPr>
            <w:r w:rsidDel="00000000" w:rsidR="00000000" w:rsidRPr="00000000">
              <w:rPr>
                <w:b w:val="1"/>
                <w:color w:val="ffffff"/>
                <w:sz w:val="23"/>
                <w:szCs w:val="23"/>
                <w:rtl w:val="0"/>
              </w:rPr>
              <w:t xml:space="preserve">Fecha de cierre</w:t>
            </w:r>
            <w:r w:rsidDel="00000000" w:rsidR="00000000" w:rsidRPr="00000000">
              <w:rPr>
                <w:rtl w:val="0"/>
              </w:rPr>
            </w:r>
          </w:p>
        </w:tc>
        <w:tc>
          <w:tcPr>
            <w:tcBorders>
              <w:left w:color="cccccc" w:space="0" w:sz="6" w:val="single"/>
            </w:tcBorders>
            <w:shd w:fill="cf3500" w:val="clear"/>
            <w:tcMar>
              <w:top w:w="160.0" w:type="dxa"/>
              <w:left w:w="160.0" w:type="dxa"/>
              <w:bottom w:w="160.0" w:type="dxa"/>
              <w:right w:w="160.0" w:type="dxa"/>
            </w:tcMar>
            <w:vAlign w:val="top"/>
          </w:tcPr>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pacing w:after="360" w:line="313.04347826086956" w:lineRule="auto"/>
              <w:ind w:left="-180" w:right="-180"/>
              <w:rPr>
                <w:color w:val="333333"/>
                <w:sz w:val="23"/>
                <w:szCs w:val="23"/>
              </w:rPr>
            </w:pPr>
            <w:r w:rsidDel="00000000" w:rsidR="00000000" w:rsidRPr="00000000">
              <w:rPr>
                <w:b w:val="1"/>
                <w:color w:val="ffffff"/>
                <w:sz w:val="23"/>
                <w:szCs w:val="23"/>
                <w:rtl w:val="0"/>
              </w:rPr>
              <w:t xml:space="preserve">Convocatoria</w:t>
            </w:r>
            <w:r w:rsidDel="00000000" w:rsidR="00000000" w:rsidRPr="00000000">
              <w:rPr>
                <w:rtl w:val="0"/>
              </w:rPr>
            </w:r>
          </w:p>
        </w:tc>
      </w:tr>
      <w:tr>
        <w:trPr>
          <w:trHeight w:val="5385" w:hRule="atLeast"/>
        </w:trPr>
        <w:tc>
          <w:tcPr>
            <w:tcBorders>
              <w:top w:color="999999" w:space="0" w:sz="6" w:val="dotted"/>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pacing w:after="360" w:line="344.3478260869565" w:lineRule="auto"/>
              <w:ind w:left="-180" w:right="-180"/>
              <w:rPr>
                <w:color w:val="333333"/>
                <w:sz w:val="23"/>
                <w:szCs w:val="23"/>
              </w:rPr>
            </w:pPr>
            <w:r w:rsidDel="00000000" w:rsidR="00000000" w:rsidRPr="00000000">
              <w:rPr>
                <w:color w:val="333333"/>
                <w:sz w:val="23"/>
                <w:szCs w:val="23"/>
                <w:rtl w:val="0"/>
              </w:rPr>
              <w:t xml:space="preserve">University Summer Courses in Germany for Foreign Students and Graduates</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333333"/>
                <w:sz w:val="23"/>
                <w:szCs w:val="23"/>
              </w:rPr>
            </w:pPr>
            <w:r w:rsidDel="00000000" w:rsidR="00000000" w:rsidRPr="00000000">
              <w:rPr>
                <w:b w:val="1"/>
                <w:color w:val="333333"/>
                <w:sz w:val="23"/>
                <w:szCs w:val="23"/>
                <w:rtl w:val="0"/>
              </w:rPr>
              <w:t xml:space="preserve">Becas para cursos de verano en universidades alemanas: </w:t>
            </w:r>
            <w:r w:rsidDel="00000000" w:rsidR="00000000" w:rsidRPr="00000000">
              <w:rPr>
                <w:color w:val="333333"/>
                <w:sz w:val="23"/>
                <w:szCs w:val="23"/>
                <w:rtl w:val="0"/>
              </w:rPr>
              <w:t xml:space="preserve">cursos intensivos para perfeccionar conocimientos de alemán en diferentes instituciones en Alemania.</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Costo del curso</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Seguro médico</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pacing w:after="0" w:line="360" w:lineRule="auto"/>
              <w:ind w:left="0" w:hanging="360"/>
            </w:pPr>
            <w:r w:rsidDel="00000000" w:rsidR="00000000" w:rsidRPr="00000000">
              <w:rPr>
                <w:color w:val="333333"/>
                <w:sz w:val="23"/>
                <w:szCs w:val="23"/>
                <w:rtl w:val="0"/>
              </w:rPr>
              <w:t xml:space="preserve">Apoyo para manutención y traslado internacional</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r w:rsidDel="00000000" w:rsidR="00000000" w:rsidRPr="00000000">
              <w:rPr>
                <w:color w:val="333333"/>
                <w:sz w:val="23"/>
                <w:szCs w:val="23"/>
                <w:rtl w:val="0"/>
              </w:rPr>
              <w:t xml:space="preserve">Generalmente en diciembre</w:t>
            </w:r>
          </w:p>
        </w:tc>
        <w:tc>
          <w:tcPr>
            <w:tcBorders>
              <w:top w:color="999999" w:space="0" w:sz="6" w:val="dotted"/>
              <w:left w:color="c2c2c2" w:space="0" w:sz="6" w:val="single"/>
              <w:bottom w:color="999999" w:space="0" w:sz="6" w:val="dotted"/>
            </w:tcBorders>
            <w:tcMar>
              <w:top w:w="160.0" w:type="dxa"/>
              <w:left w:w="160.0" w:type="dxa"/>
              <w:bottom w:w="160.0" w:type="dxa"/>
              <w:right w:w="160.0" w:type="dxa"/>
            </w:tcMar>
            <w:vAlign w:val="top"/>
          </w:tcPr>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pacing w:after="0" w:line="344.3478260869565" w:lineRule="auto"/>
              <w:ind w:left="0" w:right="-180" w:firstLine="0"/>
              <w:rPr/>
            </w:pPr>
            <w:hyperlink r:id="rId7">
              <w:r w:rsidDel="00000000" w:rsidR="00000000" w:rsidRPr="00000000">
                <w:rPr>
                  <w:color w:val="0060af"/>
                  <w:sz w:val="23"/>
                  <w:szCs w:val="23"/>
                  <w:rtl w:val="0"/>
                </w:rPr>
                <w:t xml:space="preserve">Convocatoria en el banco de becas</w:t>
              </w:r>
            </w:hyperlink>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0060af"/>
                <w:sz w:val="23"/>
                <w:szCs w:val="23"/>
              </w:rPr>
            </w:pPr>
            <w:hyperlink r:id="rId8">
              <w:r w:rsidDel="00000000" w:rsidR="00000000" w:rsidRPr="00000000">
                <w:rPr>
                  <w:color w:val="0060af"/>
                  <w:sz w:val="23"/>
                  <w:szCs w:val="23"/>
                  <w:rtl w:val="0"/>
                </w:rPr>
                <w:t xml:space="preserve">Documento informativo sobre la convocatoria 2019/20</w:t>
              </w:r>
            </w:hyperlink>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0" w:line="360" w:lineRule="auto"/>
              <w:ind w:left="0" w:firstLine="0"/>
              <w:rPr>
                <w:color w:val="0060af"/>
                <w:sz w:val="23"/>
                <w:szCs w:val="23"/>
              </w:rPr>
            </w:pPr>
            <w:hyperlink r:id="rId9">
              <w:r w:rsidDel="00000000" w:rsidR="00000000" w:rsidRPr="00000000">
                <w:rPr>
                  <w:color w:val="0060af"/>
                  <w:sz w:val="23"/>
                  <w:szCs w:val="23"/>
                  <w:rtl w:val="0"/>
                </w:rPr>
                <w:t xml:space="preserve">Oferta de cursos elegibles HSK 2020</w:t>
              </w:r>
            </w:hyperlink>
            <w:r w:rsidDel="00000000" w:rsidR="00000000" w:rsidRPr="00000000">
              <w:rPr>
                <w:rtl w:val="0"/>
              </w:rPr>
            </w:r>
          </w:p>
        </w:tc>
      </w:tr>
      <w:tr>
        <w:trPr>
          <w:trHeight w:val="4755" w:hRule="atLeast"/>
        </w:trPr>
        <w:tc>
          <w:tcPr>
            <w:tcBorders>
              <w:top w:color="999999" w:space="0" w:sz="6" w:val="dotted"/>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pacing w:after="360" w:line="344.3478260869565" w:lineRule="auto"/>
              <w:ind w:left="-180" w:right="-180"/>
              <w:rPr>
                <w:color w:val="333333"/>
                <w:sz w:val="23"/>
                <w:szCs w:val="23"/>
              </w:rPr>
            </w:pPr>
            <w:r w:rsidDel="00000000" w:rsidR="00000000" w:rsidRPr="00000000">
              <w:rPr>
                <w:color w:val="333333"/>
                <w:sz w:val="23"/>
                <w:szCs w:val="23"/>
                <w:rtl w:val="0"/>
              </w:rPr>
              <w:t xml:space="preserve">University Winter Courses in Germany for Foreign Students and Graduates</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r w:rsidDel="00000000" w:rsidR="00000000" w:rsidRPr="00000000">
              <w:rPr>
                <w:b w:val="1"/>
                <w:color w:val="333333"/>
                <w:sz w:val="23"/>
                <w:szCs w:val="23"/>
                <w:rtl w:val="0"/>
              </w:rPr>
              <w:t xml:space="preserve">Becas para cursos de invierno en universidades alemanas: </w:t>
            </w:r>
            <w:r w:rsidDel="00000000" w:rsidR="00000000" w:rsidRPr="00000000">
              <w:rPr>
                <w:color w:val="333333"/>
                <w:sz w:val="23"/>
                <w:szCs w:val="23"/>
                <w:rtl w:val="0"/>
              </w:rPr>
              <w:t xml:space="preserve">cursos intensivos para perfeccionar conocimientos de alemán en diferentes instituciones en Alemania.</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8">
            <w:pPr>
              <w:numPr>
                <w:ilvl w:val="0"/>
                <w:numId w:val="6"/>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Costo del curso</w:t>
            </w:r>
          </w:p>
          <w:p w:rsidR="00000000" w:rsidDel="00000000" w:rsidP="00000000" w:rsidRDefault="00000000" w:rsidRPr="00000000" w14:paraId="00000039">
            <w:pPr>
              <w:numPr>
                <w:ilvl w:val="0"/>
                <w:numId w:val="6"/>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Seguro médico</w:t>
            </w:r>
          </w:p>
          <w:p w:rsidR="00000000" w:rsidDel="00000000" w:rsidP="00000000" w:rsidRDefault="00000000" w:rsidRPr="00000000" w14:paraId="0000003A">
            <w:pPr>
              <w:numPr>
                <w:ilvl w:val="0"/>
                <w:numId w:val="6"/>
              </w:numPr>
              <w:pBdr>
                <w:top w:color="auto" w:space="0" w:sz="0" w:val="none"/>
                <w:bottom w:color="auto" w:space="0" w:sz="0" w:val="none"/>
                <w:right w:color="auto" w:space="0" w:sz="0" w:val="none"/>
                <w:between w:color="auto" w:space="0" w:sz="0" w:val="none"/>
              </w:pBdr>
              <w:spacing w:after="740" w:line="360" w:lineRule="auto"/>
              <w:ind w:left="0" w:hanging="360"/>
            </w:pPr>
            <w:r w:rsidDel="00000000" w:rsidR="00000000" w:rsidRPr="00000000">
              <w:rPr>
                <w:color w:val="333333"/>
                <w:sz w:val="23"/>
                <w:szCs w:val="23"/>
                <w:rtl w:val="0"/>
              </w:rPr>
              <w:t xml:space="preserve">Apoyo para manutención y traslado internacional</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r w:rsidDel="00000000" w:rsidR="00000000" w:rsidRPr="00000000">
              <w:rPr>
                <w:color w:val="333333"/>
                <w:sz w:val="23"/>
                <w:szCs w:val="23"/>
                <w:rtl w:val="0"/>
              </w:rPr>
              <w:t xml:space="preserve">Generalmente en agosto</w:t>
            </w:r>
          </w:p>
        </w:tc>
        <w:tc>
          <w:tcPr>
            <w:tcBorders>
              <w:top w:color="999999" w:space="0" w:sz="6" w:val="dotted"/>
              <w:left w:color="c2c2c2" w:space="0" w:sz="6" w:val="single"/>
              <w:bottom w:color="999999" w:space="0" w:sz="6" w:val="dotted"/>
            </w:tcBorders>
            <w:tcMar>
              <w:top w:w="160.0" w:type="dxa"/>
              <w:left w:w="160.0" w:type="dxa"/>
              <w:bottom w:w="160.0" w:type="dxa"/>
              <w:right w:w="160.0" w:type="dxa"/>
            </w:tcMar>
            <w:vAlign w:val="top"/>
          </w:tcPr>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0060af"/>
                <w:sz w:val="23"/>
                <w:szCs w:val="23"/>
              </w:rPr>
            </w:pPr>
            <w:hyperlink r:id="rId10">
              <w:r w:rsidDel="00000000" w:rsidR="00000000" w:rsidRPr="00000000">
                <w:rPr>
                  <w:color w:val="0060af"/>
                  <w:sz w:val="23"/>
                  <w:szCs w:val="23"/>
                  <w:rtl w:val="0"/>
                </w:rPr>
                <w:t xml:space="preserve">Convocatoria en el banco de becas</w:t>
              </w:r>
            </w:hyperlink>
            <w:r w:rsidDel="00000000" w:rsidR="00000000" w:rsidRPr="00000000">
              <w:rPr>
                <w:rtl w:val="0"/>
              </w:rPr>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pacing w:after="0" w:line="360" w:lineRule="auto"/>
              <w:ind w:left="0" w:firstLine="0"/>
              <w:rPr/>
            </w:pPr>
            <w:hyperlink r:id="rId11">
              <w:r w:rsidDel="00000000" w:rsidR="00000000" w:rsidRPr="00000000">
                <w:rPr>
                  <w:color w:val="0060af"/>
                  <w:sz w:val="23"/>
                  <w:szCs w:val="23"/>
                  <w:rtl w:val="0"/>
                </w:rPr>
                <w:t xml:space="preserve">Documento informativo sobre la convocatoria 2019/20</w:t>
              </w:r>
            </w:hyperlink>
            <w:r w:rsidDel="00000000" w:rsidR="00000000" w:rsidRPr="00000000">
              <w:rPr>
                <w:rtl w:val="0"/>
              </w:rPr>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pacing w:after="720" w:line="360" w:lineRule="auto"/>
              <w:ind w:left="0" w:firstLine="0"/>
              <w:rPr>
                <w:color w:val="0060af"/>
                <w:sz w:val="23"/>
                <w:szCs w:val="23"/>
              </w:rPr>
            </w:pPr>
            <w:hyperlink r:id="rId12">
              <w:r w:rsidDel="00000000" w:rsidR="00000000" w:rsidRPr="00000000">
                <w:rPr>
                  <w:color w:val="0060af"/>
                  <w:sz w:val="23"/>
                  <w:szCs w:val="23"/>
                  <w:rtl w:val="0"/>
                </w:rPr>
                <w:t xml:space="preserve">Oferta de cursos elegibles HWK 2020</w:t>
              </w:r>
            </w:hyperlink>
            <w:r w:rsidDel="00000000" w:rsidR="00000000" w:rsidRPr="00000000">
              <w:rPr>
                <w:rtl w:val="0"/>
              </w:rPr>
            </w:r>
          </w:p>
        </w:tc>
      </w:tr>
      <w:tr>
        <w:trPr>
          <w:trHeight w:val="6180" w:hRule="atLeast"/>
        </w:trPr>
        <w:tc>
          <w:tcPr>
            <w:tcBorders>
              <w:top w:color="999999" w:space="0" w:sz="6" w:val="dotted"/>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pacing w:after="360" w:line="344.3478260869565" w:lineRule="auto"/>
              <w:ind w:left="-141.73228346456688" w:right="-180" w:firstLine="0"/>
              <w:rPr>
                <w:color w:val="333333"/>
                <w:sz w:val="23"/>
                <w:szCs w:val="23"/>
              </w:rPr>
            </w:pPr>
            <w:r w:rsidDel="00000000" w:rsidR="00000000" w:rsidRPr="00000000">
              <w:rPr>
                <w:color w:val="333333"/>
                <w:sz w:val="23"/>
                <w:szCs w:val="23"/>
                <w:rtl w:val="0"/>
              </w:rPr>
              <w:t xml:space="preserve">Study visits by Groups of Foreign Students</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333333"/>
                <w:sz w:val="23"/>
                <w:szCs w:val="23"/>
              </w:rPr>
            </w:pPr>
            <w:r w:rsidDel="00000000" w:rsidR="00000000" w:rsidRPr="00000000">
              <w:rPr>
                <w:b w:val="1"/>
                <w:color w:val="333333"/>
                <w:sz w:val="23"/>
                <w:szCs w:val="23"/>
                <w:rtl w:val="0"/>
              </w:rPr>
              <w:t xml:space="preserve">Viajes de estudio y prácticas de estudio en Alemania para grupos de estudiantes:</w:t>
            </w:r>
            <w:r w:rsidDel="00000000" w:rsidR="00000000" w:rsidRPr="00000000">
              <w:rPr>
                <w:color w:val="333333"/>
                <w:sz w:val="23"/>
                <w:szCs w:val="23"/>
                <w:rtl w:val="0"/>
              </w:rPr>
              <w:t xml:space="preserve"> Financia viajes entre 7 - 12 días a instituciones de educación superior y empresas en Alemania.</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1">
            <w:pPr>
              <w:numPr>
                <w:ilvl w:val="0"/>
                <w:numId w:val="7"/>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Apoyo para los gastos de alojamiento y alimentación</w:t>
            </w:r>
          </w:p>
          <w:p w:rsidR="00000000" w:rsidDel="00000000" w:rsidP="00000000" w:rsidRDefault="00000000" w:rsidRPr="00000000" w14:paraId="00000042">
            <w:pPr>
              <w:numPr>
                <w:ilvl w:val="0"/>
                <w:numId w:val="7"/>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Apoyo para el transporte interno en Alemania</w:t>
            </w:r>
          </w:p>
          <w:p w:rsidR="00000000" w:rsidDel="00000000" w:rsidP="00000000" w:rsidRDefault="00000000" w:rsidRPr="00000000" w14:paraId="00000043">
            <w:pPr>
              <w:numPr>
                <w:ilvl w:val="0"/>
                <w:numId w:val="7"/>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Seguro médico</w:t>
            </w:r>
          </w:p>
          <w:p w:rsidR="00000000" w:rsidDel="00000000" w:rsidP="00000000" w:rsidRDefault="00000000" w:rsidRPr="00000000" w14:paraId="00000044">
            <w:pPr>
              <w:numPr>
                <w:ilvl w:val="0"/>
                <w:numId w:val="7"/>
              </w:numPr>
              <w:pBdr>
                <w:top w:color="auto" w:space="0" w:sz="0" w:val="none"/>
                <w:bottom w:color="auto" w:space="0" w:sz="0" w:val="none"/>
                <w:right w:color="auto" w:space="0" w:sz="0" w:val="none"/>
                <w:between w:color="auto" w:space="0" w:sz="0" w:val="none"/>
              </w:pBdr>
              <w:spacing w:after="0" w:line="360" w:lineRule="auto"/>
              <w:ind w:left="0" w:hanging="360"/>
            </w:pPr>
            <w:r w:rsidDel="00000000" w:rsidR="00000000" w:rsidRPr="00000000">
              <w:rPr>
                <w:color w:val="333333"/>
                <w:sz w:val="23"/>
                <w:szCs w:val="23"/>
                <w:rtl w:val="0"/>
              </w:rPr>
              <w:t xml:space="preserve">Apoyo parcial para el traslado internacional</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pacing w:after="0" w:line="360" w:lineRule="auto"/>
              <w:rPr>
                <w:color w:val="333333"/>
                <w:sz w:val="23"/>
                <w:szCs w:val="23"/>
              </w:rPr>
            </w:pPr>
            <w:r w:rsidDel="00000000" w:rsidR="00000000" w:rsidRPr="00000000">
              <w:rPr>
                <w:color w:val="333333"/>
                <w:sz w:val="23"/>
                <w:szCs w:val="23"/>
                <w:rtl w:val="0"/>
              </w:rPr>
              <w:t xml:space="preserve">En febrero para viajes a partir de junio</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pacing w:after="0" w:line="360" w:lineRule="auto"/>
              <w:rPr>
                <w:color w:val="333333"/>
                <w:sz w:val="23"/>
                <w:szCs w:val="23"/>
              </w:rPr>
            </w:pPr>
            <w:r w:rsidDel="00000000" w:rsidR="00000000" w:rsidRPr="00000000">
              <w:rPr>
                <w:color w:val="333333"/>
                <w:sz w:val="23"/>
                <w:szCs w:val="23"/>
                <w:rtl w:val="0"/>
              </w:rPr>
              <w:t xml:space="preserve">En mayo para viajes a partir de septiembre</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pacing w:after="0" w:line="360" w:lineRule="auto"/>
              <w:rPr>
                <w:color w:val="333333"/>
                <w:sz w:val="23"/>
                <w:szCs w:val="23"/>
              </w:rPr>
            </w:pPr>
            <w:r w:rsidDel="00000000" w:rsidR="00000000" w:rsidRPr="00000000">
              <w:rPr>
                <w:color w:val="333333"/>
                <w:sz w:val="23"/>
                <w:szCs w:val="23"/>
                <w:rtl w:val="0"/>
              </w:rPr>
              <w:t xml:space="preserve">En noviembre para viajes a partir de marzo</w:t>
            </w:r>
          </w:p>
        </w:tc>
        <w:tc>
          <w:tcPr>
            <w:tcBorders>
              <w:top w:color="999999" w:space="0" w:sz="6" w:val="dotted"/>
              <w:left w:color="c2c2c2" w:space="0" w:sz="6" w:val="single"/>
              <w:bottom w:color="999999" w:space="0" w:sz="6" w:val="dotted"/>
            </w:tcBorders>
            <w:tcMar>
              <w:top w:w="160.0" w:type="dxa"/>
              <w:left w:w="160.0" w:type="dxa"/>
              <w:bottom w:w="160.0" w:type="dxa"/>
              <w:right w:w="160.0" w:type="dxa"/>
            </w:tcMar>
            <w:vAlign w:val="top"/>
          </w:tcPr>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0060af"/>
                <w:sz w:val="23"/>
                <w:szCs w:val="23"/>
              </w:rPr>
            </w:pPr>
            <w:hyperlink r:id="rId13">
              <w:r w:rsidDel="00000000" w:rsidR="00000000" w:rsidRPr="00000000">
                <w:rPr>
                  <w:color w:val="0060af"/>
                  <w:sz w:val="23"/>
                  <w:szCs w:val="23"/>
                  <w:rtl w:val="0"/>
                </w:rPr>
                <w:t xml:space="preserve">Convocatoria en el banco de becas</w:t>
              </w:r>
            </w:hyperlink>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pacing w:after="0" w:line="360" w:lineRule="auto"/>
              <w:rPr>
                <w:color w:val="0060af"/>
                <w:sz w:val="23"/>
                <w:szCs w:val="23"/>
              </w:rPr>
            </w:pPr>
            <w:hyperlink r:id="rId14">
              <w:r w:rsidDel="00000000" w:rsidR="00000000" w:rsidRPr="00000000">
                <w:rPr>
                  <w:color w:val="0060af"/>
                  <w:sz w:val="23"/>
                  <w:szCs w:val="23"/>
                  <w:rtl w:val="0"/>
                </w:rPr>
                <w:t xml:space="preserve">Documento informativo sobre la convocatoria 2019/20</w:t>
              </w:r>
            </w:hyperlink>
            <w:r w:rsidDel="00000000" w:rsidR="00000000" w:rsidRPr="00000000">
              <w:rPr>
                <w:rtl w:val="0"/>
              </w:rPr>
            </w:r>
          </w:p>
        </w:tc>
      </w:tr>
      <w:tr>
        <w:trPr>
          <w:trHeight w:val="5595" w:hRule="atLeast"/>
        </w:trPr>
        <w:tc>
          <w:tcPr>
            <w:tcBorders>
              <w:top w:color="999999" w:space="0" w:sz="6" w:val="dotted"/>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pacing w:after="360" w:line="344.3478260869565" w:lineRule="auto"/>
              <w:ind w:left="-141.73228346456688" w:right="-180" w:firstLine="0"/>
              <w:rPr>
                <w:color w:val="333333"/>
                <w:sz w:val="23"/>
                <w:szCs w:val="23"/>
              </w:rPr>
            </w:pPr>
            <w:r w:rsidDel="00000000" w:rsidR="00000000" w:rsidRPr="00000000">
              <w:rPr>
                <w:color w:val="333333"/>
                <w:sz w:val="23"/>
                <w:szCs w:val="23"/>
                <w:rtl w:val="0"/>
              </w:rPr>
              <w:t xml:space="preserve">Concert trips to Germany for groups of foreign students and PhD candidates</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pacing w:after="0" w:line="344.3478260869565" w:lineRule="auto"/>
              <w:ind w:left="0" w:right="-180" w:firstLine="0"/>
              <w:rPr>
                <w:color w:val="333333"/>
                <w:sz w:val="23"/>
                <w:szCs w:val="23"/>
              </w:rPr>
            </w:pPr>
            <w:r w:rsidDel="00000000" w:rsidR="00000000" w:rsidRPr="00000000">
              <w:rPr>
                <w:b w:val="1"/>
                <w:color w:val="333333"/>
                <w:sz w:val="23"/>
                <w:szCs w:val="23"/>
                <w:rtl w:val="0"/>
              </w:rPr>
              <w:t xml:space="preserve">Viajes de grupos de concertistas a Alemania: </w:t>
            </w:r>
            <w:r w:rsidDel="00000000" w:rsidR="00000000" w:rsidRPr="00000000">
              <w:rPr>
                <w:color w:val="333333"/>
                <w:sz w:val="23"/>
                <w:szCs w:val="23"/>
                <w:rtl w:val="0"/>
              </w:rPr>
              <w:t xml:space="preserve">Financia viajes de máximo 12 días para grupos de coros o concertistas a Alemania para realizar conciertos y establecer contactos con universidades alemanas.</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C">
            <w:pPr>
              <w:numPr>
                <w:ilvl w:val="0"/>
                <w:numId w:val="4"/>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Apoyo para los gastos de alojamiento y alimentación</w:t>
            </w:r>
          </w:p>
          <w:p w:rsidR="00000000" w:rsidDel="00000000" w:rsidP="00000000" w:rsidRDefault="00000000" w:rsidRPr="00000000" w14:paraId="0000004D">
            <w:pPr>
              <w:numPr>
                <w:ilvl w:val="0"/>
                <w:numId w:val="4"/>
              </w:numPr>
              <w:pBdr>
                <w:top w:color="auto" w:space="0" w:sz="0" w:val="none"/>
                <w:bottom w:color="auto" w:space="0" w:sz="0" w:val="none"/>
                <w:right w:color="auto" w:space="0" w:sz="0" w:val="none"/>
                <w:between w:color="auto" w:space="0" w:sz="0" w:val="none"/>
              </w:pBdr>
              <w:spacing w:after="740" w:line="360" w:lineRule="auto"/>
              <w:ind w:left="0" w:hanging="360"/>
            </w:pPr>
            <w:r w:rsidDel="00000000" w:rsidR="00000000" w:rsidRPr="00000000">
              <w:rPr>
                <w:color w:val="333333"/>
                <w:sz w:val="23"/>
                <w:szCs w:val="23"/>
                <w:rtl w:val="0"/>
              </w:rPr>
              <w:t xml:space="preserve">Apoyo parcial para el traslado internacional</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pacing w:after="200" w:line="360" w:lineRule="auto"/>
              <w:rPr>
                <w:color w:val="333333"/>
                <w:sz w:val="23"/>
                <w:szCs w:val="23"/>
              </w:rPr>
            </w:pPr>
            <w:r w:rsidDel="00000000" w:rsidR="00000000" w:rsidRPr="00000000">
              <w:rPr>
                <w:color w:val="333333"/>
                <w:sz w:val="23"/>
                <w:szCs w:val="23"/>
                <w:rtl w:val="0"/>
              </w:rPr>
              <w:t xml:space="preserve">En abril para viajes entre julio y diciembre</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pacing w:after="200" w:line="360" w:lineRule="auto"/>
              <w:rPr>
                <w:color w:val="333333"/>
                <w:sz w:val="23"/>
                <w:szCs w:val="23"/>
              </w:rPr>
            </w:pPr>
            <w:r w:rsidDel="00000000" w:rsidR="00000000" w:rsidRPr="00000000">
              <w:rPr>
                <w:color w:val="333333"/>
                <w:sz w:val="23"/>
                <w:szCs w:val="23"/>
                <w:rtl w:val="0"/>
              </w:rPr>
              <w:t xml:space="preserve">En septiembre para viajes entre enero y junio</w:t>
            </w:r>
          </w:p>
        </w:tc>
        <w:tc>
          <w:tcPr>
            <w:tcBorders>
              <w:top w:color="999999" w:space="0" w:sz="6" w:val="dotted"/>
              <w:left w:color="c2c2c2" w:space="0" w:sz="6" w:val="single"/>
              <w:bottom w:color="999999" w:space="0" w:sz="6" w:val="dotted"/>
            </w:tcBorders>
            <w:tcMar>
              <w:top w:w="160.0" w:type="dxa"/>
              <w:left w:w="160.0" w:type="dxa"/>
              <w:bottom w:w="160.0" w:type="dxa"/>
              <w:right w:w="160.0" w:type="dxa"/>
            </w:tcMar>
            <w:vAlign w:val="top"/>
          </w:tcPr>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hyperlink r:id="rId15">
              <w:r w:rsidDel="00000000" w:rsidR="00000000" w:rsidRPr="00000000">
                <w:rPr>
                  <w:color w:val="0060af"/>
                  <w:sz w:val="23"/>
                  <w:szCs w:val="23"/>
                  <w:rtl w:val="0"/>
                </w:rPr>
                <w:t xml:space="preserve">Convocatoria en el banco de becas de proyectos</w:t>
              </w:r>
            </w:hyperlink>
            <w:r w:rsidDel="00000000" w:rsidR="00000000" w:rsidRPr="00000000">
              <w:rPr>
                <w:color w:val="333333"/>
                <w:sz w:val="23"/>
                <w:szCs w:val="23"/>
                <w:rtl w:val="0"/>
              </w:rPr>
              <w:t xml:space="preserve"> (en alemán ya que es la universidad alemana que entrega la solicitud)</w:t>
            </w:r>
          </w:p>
        </w:tc>
      </w:tr>
      <w:tr>
        <w:trPr>
          <w:trHeight w:val="5595" w:hRule="atLeast"/>
        </w:trPr>
        <w:tc>
          <w:tcPr>
            <w:tcBorders>
              <w:top w:color="999999" w:space="0" w:sz="6" w:val="dotted"/>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pacing w:after="360" w:line="344.3478260869565" w:lineRule="auto"/>
              <w:ind w:left="-180" w:right="-180"/>
              <w:rPr>
                <w:color w:val="333333"/>
                <w:sz w:val="23"/>
                <w:szCs w:val="23"/>
              </w:rPr>
            </w:pPr>
            <w:r w:rsidDel="00000000" w:rsidR="00000000" w:rsidRPr="00000000">
              <w:rPr>
                <w:color w:val="333333"/>
                <w:sz w:val="23"/>
                <w:szCs w:val="23"/>
                <w:rtl w:val="0"/>
              </w:rPr>
              <w:t xml:space="preserve">Practical Traineeships for Foreign Students of Natural and Technical Sciences, Agriculture and Forestry (IAESTE)</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r w:rsidDel="00000000" w:rsidR="00000000" w:rsidRPr="00000000">
              <w:rPr>
                <w:b w:val="1"/>
                <w:color w:val="333333"/>
                <w:sz w:val="23"/>
                <w:szCs w:val="23"/>
                <w:rtl w:val="0"/>
              </w:rPr>
              <w:t xml:space="preserve">Prácticas profesionales (IAESTE Colombia</w:t>
            </w:r>
            <w:r w:rsidDel="00000000" w:rsidR="00000000" w:rsidRPr="00000000">
              <w:rPr>
                <w:color w:val="333333"/>
                <w:sz w:val="23"/>
                <w:szCs w:val="23"/>
                <w:rtl w:val="0"/>
              </w:rPr>
              <w:t xml:space="preserve">): Dirigido a estudiantes de Ciencias Naturales, Ingeniería y Ciencias Agrarias. Duración de 2 - 3 meses, en casos excepcionales hasta un año.</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53">
            <w:pPr>
              <w:numPr>
                <w:ilvl w:val="0"/>
                <w:numId w:val="2"/>
              </w:numPr>
              <w:pBdr>
                <w:top w:color="auto" w:space="0" w:sz="0" w:val="none"/>
                <w:bottom w:color="auto" w:space="0" w:sz="0" w:val="none"/>
                <w:right w:color="auto" w:space="0" w:sz="0" w:val="none"/>
                <w:between w:color="auto" w:space="0" w:sz="0" w:val="none"/>
              </w:pBdr>
              <w:spacing w:after="0" w:afterAutospacing="0" w:line="360" w:lineRule="auto"/>
              <w:ind w:left="0" w:hanging="360"/>
            </w:pPr>
            <w:r w:rsidDel="00000000" w:rsidR="00000000" w:rsidRPr="00000000">
              <w:rPr>
                <w:color w:val="333333"/>
                <w:sz w:val="23"/>
                <w:szCs w:val="23"/>
                <w:rtl w:val="0"/>
              </w:rPr>
              <w:t xml:space="preserve">Seguro médico</w:t>
            </w:r>
          </w:p>
          <w:p w:rsidR="00000000" w:rsidDel="00000000" w:rsidP="00000000" w:rsidRDefault="00000000" w:rsidRPr="00000000" w14:paraId="00000054">
            <w:pPr>
              <w:numPr>
                <w:ilvl w:val="0"/>
                <w:numId w:val="2"/>
              </w:numPr>
              <w:pBdr>
                <w:top w:color="auto" w:space="0" w:sz="0" w:val="none"/>
                <w:bottom w:color="auto" w:space="0" w:sz="0" w:val="none"/>
                <w:right w:color="auto" w:space="0" w:sz="0" w:val="none"/>
                <w:between w:color="auto" w:space="0" w:sz="0" w:val="none"/>
              </w:pBdr>
              <w:spacing w:after="740" w:line="360" w:lineRule="auto"/>
              <w:ind w:left="0" w:hanging="360"/>
            </w:pPr>
            <w:r w:rsidDel="00000000" w:rsidR="00000000" w:rsidRPr="00000000">
              <w:rPr>
                <w:color w:val="333333"/>
                <w:sz w:val="23"/>
                <w:szCs w:val="23"/>
                <w:rtl w:val="0"/>
              </w:rPr>
              <w:t xml:space="preserve">Apoyo para manutención</w:t>
            </w:r>
          </w:p>
        </w:tc>
        <w:tc>
          <w:tcPr>
            <w:tcBorders>
              <w:top w:color="999999" w:space="0" w:sz="6" w:val="dotted"/>
              <w:left w:color="c2c2c2" w:space="0" w:sz="6" w:val="single"/>
              <w:bottom w:color="999999" w:space="0" w:sz="6" w:val="dotted"/>
              <w:right w:color="c2c2c2" w:space="0" w:sz="6" w:val="single"/>
            </w:tcBorders>
            <w:tcMar>
              <w:top w:w="160.0" w:type="dxa"/>
              <w:left w:w="160.0" w:type="dxa"/>
              <w:bottom w:w="160.0" w:type="dxa"/>
              <w:right w:w="160.0" w:type="dxa"/>
            </w:tcMar>
            <w:vAlign w:val="top"/>
          </w:tcPr>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333333"/>
                <w:sz w:val="23"/>
                <w:szCs w:val="23"/>
              </w:rPr>
            </w:pPr>
            <w:r w:rsidDel="00000000" w:rsidR="00000000" w:rsidRPr="00000000">
              <w:rPr>
                <w:color w:val="333333"/>
                <w:sz w:val="23"/>
                <w:szCs w:val="23"/>
                <w:rtl w:val="0"/>
              </w:rPr>
              <w:t xml:space="preserve">Proceso de selección y fechas definidos por las Oficinas de Relaciones Internacionales de las universidades colombianas participantes</w:t>
            </w:r>
          </w:p>
        </w:tc>
        <w:tc>
          <w:tcPr>
            <w:tcBorders>
              <w:top w:color="999999" w:space="0" w:sz="6" w:val="dotted"/>
              <w:left w:color="c2c2c2" w:space="0" w:sz="6" w:val="single"/>
              <w:bottom w:color="999999" w:space="0" w:sz="6" w:val="dotted"/>
            </w:tcBorders>
            <w:tcMar>
              <w:top w:w="160.0" w:type="dxa"/>
              <w:left w:w="160.0" w:type="dxa"/>
              <w:bottom w:w="160.0" w:type="dxa"/>
              <w:right w:w="160.0" w:type="dxa"/>
            </w:tcMar>
            <w:vAlign w:val="top"/>
          </w:tcPr>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spacing w:after="360" w:line="344.3478260869565" w:lineRule="auto"/>
              <w:ind w:left="0" w:right="-180" w:firstLine="0"/>
              <w:rPr>
                <w:color w:val="0060af"/>
                <w:sz w:val="23"/>
                <w:szCs w:val="23"/>
              </w:rPr>
            </w:pPr>
            <w:hyperlink r:id="rId16">
              <w:r w:rsidDel="00000000" w:rsidR="00000000" w:rsidRPr="00000000">
                <w:rPr>
                  <w:color w:val="0060af"/>
                  <w:sz w:val="23"/>
                  <w:szCs w:val="23"/>
                  <w:rtl w:val="0"/>
                </w:rPr>
                <w:t xml:space="preserve">Convocatoria en el banco de becas</w:t>
              </w:r>
            </w:hyperlink>
            <w:r w:rsidDel="00000000" w:rsidR="00000000" w:rsidRPr="00000000">
              <w:rPr>
                <w:rtl w:val="0"/>
              </w:rPr>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pacing w:after="720" w:line="360" w:lineRule="auto"/>
              <w:rPr>
                <w:color w:val="0060af"/>
                <w:sz w:val="23"/>
                <w:szCs w:val="23"/>
              </w:rPr>
            </w:pPr>
            <w:r w:rsidDel="00000000" w:rsidR="00000000" w:rsidRPr="00000000">
              <w:rPr>
                <w:color w:val="333333"/>
                <w:sz w:val="23"/>
                <w:szCs w:val="23"/>
                <w:rtl w:val="0"/>
              </w:rPr>
              <w:t xml:space="preserve">Más información en:</w:t>
            </w:r>
            <w:hyperlink r:id="rId17">
              <w:r w:rsidDel="00000000" w:rsidR="00000000" w:rsidRPr="00000000">
                <w:rPr>
                  <w:color w:val="333333"/>
                  <w:sz w:val="23"/>
                  <w:szCs w:val="23"/>
                  <w:rtl w:val="0"/>
                </w:rPr>
                <w:t xml:space="preserve"> </w:t>
              </w:r>
            </w:hyperlink>
            <w:hyperlink r:id="rId18">
              <w:r w:rsidDel="00000000" w:rsidR="00000000" w:rsidRPr="00000000">
                <w:rPr>
                  <w:color w:val="0060af"/>
                  <w:sz w:val="23"/>
                  <w:szCs w:val="23"/>
                  <w:rtl w:val="0"/>
                </w:rPr>
                <w:t xml:space="preserve">IAESTE Colombia</w:t>
              </w:r>
            </w:hyperlink>
            <w:r w:rsidDel="00000000" w:rsidR="00000000" w:rsidRPr="00000000">
              <w:rPr>
                <w:rtl w:val="0"/>
              </w:rPr>
            </w:r>
          </w:p>
        </w:tc>
      </w:tr>
    </w:tbl>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pacing w:after="220" w:before="220" w:line="360" w:lineRule="auto"/>
        <w:rPr>
          <w:rFonts w:ascii="Merriweather" w:cs="Merriweather" w:eastAsia="Merriweather" w:hAnsi="Merriweathe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b w:val="0"/>
        <w:i w:val="0"/>
        <w:smallCaps w:val="0"/>
        <w:strike w:val="0"/>
        <w:color w:val="98989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aad.co/files/2019/07/2019-HWK-2020-oferta-cursos.pdf" TargetMode="External"/><Relationship Id="rId10" Type="http://schemas.openxmlformats.org/officeDocument/2006/relationships/hyperlink" Target="http://www.daad.co/es/becas/buscador-de-becas/?type=a&amp;origin=54&amp;subjectgroup=0&amp;q=winter&amp;status=0&amp;page=0&amp;onlydaad=0&amp;language=en&amp;id=0&amp;pg=1&amp;detail_to_show=50046485" TargetMode="External"/><Relationship Id="rId13" Type="http://schemas.openxmlformats.org/officeDocument/2006/relationships/hyperlink" Target="http://www.daad.co/es/becas/buscador-de-becas/?type=a&amp;origin=54&amp;subjectgroup=0&amp;q=study+visits&amp;status=0&amp;page=0&amp;onlydaad=0&amp;language=en&amp;id=0&amp;pg=1&amp;detail_to_show=10000016" TargetMode="External"/><Relationship Id="rId12" Type="http://schemas.openxmlformats.org/officeDocument/2006/relationships/hyperlink" Target="https://www.daad.de/medien/deutschland/stipendien/formulare/daad_hochschulwinterkurse_2020_kursangebot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aad.de/deutschland/studienangebote/sommerkurse/de/?p=l#q=&amp;fos=0&amp;fee%5B%5D=0&amp;featureSummerScholarship=1&amp;sortBy=1&amp;page=1&amp;display=list" TargetMode="External"/><Relationship Id="rId15" Type="http://schemas.openxmlformats.org/officeDocument/2006/relationships/hyperlink" Target="http://daad.de/go/pf57406296" TargetMode="External"/><Relationship Id="rId14" Type="http://schemas.openxmlformats.org/officeDocument/2006/relationships/hyperlink" Target="https://www.daad.co/files/2019/09/2019-FAQ-SR_SP.pdf" TargetMode="External"/><Relationship Id="rId17" Type="http://schemas.openxmlformats.org/officeDocument/2006/relationships/hyperlink" Target="http://www.iaeste.org.co/index.php?lang=es" TargetMode="External"/><Relationship Id="rId16" Type="http://schemas.openxmlformats.org/officeDocument/2006/relationships/hyperlink" Target="http://www.daad.co/es/becas/buscador-de-becas/?type=a&amp;origin=54&amp;subjectgroup=0&amp;q=iaeste&amp;status=0&amp;page=0&amp;onlydaad=0&amp;language=en&amp;id=0&amp;pg=1&amp;detail_to_show=10000020" TargetMode="External"/><Relationship Id="rId5" Type="http://schemas.openxmlformats.org/officeDocument/2006/relationships/styles" Target="styles.xml"/><Relationship Id="rId6" Type="http://schemas.openxmlformats.org/officeDocument/2006/relationships/hyperlink" Target="https://www.colfuturo.org/dominar-un-segundo-idioma" TargetMode="External"/><Relationship Id="rId18" Type="http://schemas.openxmlformats.org/officeDocument/2006/relationships/hyperlink" Target="http://www.iaeste.org.co/index.php?lang=es" TargetMode="External"/><Relationship Id="rId7" Type="http://schemas.openxmlformats.org/officeDocument/2006/relationships/hyperlink" Target="http://www.daad.co/es/becas/buscador-de-becas/?type=a&amp;origin=54&amp;subjectgroup=0&amp;q=summer&amp;status=0&amp;page=0&amp;onlydaad=0&amp;language=en&amp;id=0&amp;pg=1&amp;detail_to_show=50035295" TargetMode="External"/><Relationship Id="rId8" Type="http://schemas.openxmlformats.org/officeDocument/2006/relationships/hyperlink" Target="https://www.daad.co/files/2019/09/2019-20-FAQ-HSKen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